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Region 1A MSHSL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Activity Recommendation Request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In an effort to improve the recommendation process, the Region 1A Committee will now consider activity recommendations in the following manner.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All recommendations will originate from the annual meeting in September.  This is not a change from the past.  However, now there will be a more formal recommendation process that is similar to the one used by advisory committees at the state level.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This must be submitted to the Region 1A Secretary by October 1st.  The Region 1A Committee will review each submitted recommendation.  They may act on it at their next committee meeting or table it in an attempt to get further information.  The Region 1A Committee will determine the time table for when any changes will be implemented.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Date: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Authors: (must represent at least 4 different schools)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List all coaches, and their school, that were in attendance at the meeting when this change was discussed: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Coaches in Favor</w:t>
        <w:tab/>
        <w:tab/>
        <w:tab/>
        <w:t xml:space="preserve">Coaches Opposed</w:t>
        <w:tab/>
        <w:tab/>
        <w:t xml:space="preserve">Coaches Abstaining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Current policy that you want to address: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State your proposal to change the policy: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State your rationale for the proposed change: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Cite an example of how this change would impact the activity: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State how this would change tournament management: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State how this would impact the schools involved financially: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State how this would impact the number of competitors: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State how this would change the facilities needed to run this event: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color w:val="000000"/>
          <w:spacing w:val="0"/>
          <w:position w:val="0"/>
          <w:sz w:val="22"/>
          <w:shd w:fill="auto" w:val="clear"/>
        </w:rPr>
        <w:t xml:space="preserve">Any other items that should be looked at or addressed for this change: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